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6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/>
      </w:r>
    </w:p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4A8FA3"/>
          <w:sz w:val="28"/>
          <w:szCs w:val="28"/>
        </w:rPr>
        <w:t xml:space="preserve">PSICOLOGÍA CON ELENA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2C5F6E"/>
          <w:sz w:val="40"/>
          <w:szCs w:val="40"/>
        </w:rPr>
        <w:t xml:space="preserve">Política de Protección de Datos</w:t>
      </w:r>
    </w:p>
    <w:p>
      <w:pPr>
        <w:spacing w:after="400" w:before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5A7080"/>
          <w:sz w:val="22"/>
          <w:szCs w:val="22"/>
        </w:rPr>
        <w:t xml:space="preserve">Tratamiento de datos personales y datos de salud · RGPD · LOPDGDD</w:t>
      </w:r>
    </w:p>
    <w:tbl>
      <w:tblPr>
        <w:tblW w:type="dxa" w:w="9026"/>
        <w:tblBorders>
          <w:top w:val="single" w:color="4A8FA3" w:sz="4"/>
          <w:left w:val="single" w:color="4A8FA3" w:sz="12"/>
          <w:bottom w:val="single" w:color="4A8FA3" w:sz="4"/>
          <w:right w:val="single" w:color="4A8FA3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Titular: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Psicología con Elena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Web: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psicologiaelena.com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Contacto: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consulta@psicologiaelena.com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Teléfono: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+34 644 263 078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Modalidad: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Servicio de atención psicológica online — España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Versión: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1.0   |   Última actualización: junio 2025</w:t>
            </w:r>
          </w:p>
        </w:tc>
      </w:tr>
    </w:tbl>
    <w:p>
      <w:pPr>
        <w:spacing w:after="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/>
      </w:r>
    </w:p>
    <w:p>
      <w:pPr>
        <w:spacing w:after="0" w:before="0"/>
      </w:pPr>
      <w:r>
        <w:br w:type="page"/>
      </w:r>
    </w:p>
    <w:tbl>
      <w:tblPr>
        <w:tblW w:type="dxa" w:w="9026"/>
        <w:tblBorders>
          <w:top w:val="single" w:color="4A8FA3" w:sz="4"/>
          <w:left w:val="single" w:color="4A8FA3" w:sz="12"/>
          <w:bottom w:val="single" w:color="4A8FA3" w:sz="4"/>
          <w:right w:val="single" w:color="4A8FA3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8E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⚠  MARCO NORMATIVO APLICABLE: El tratamiento de datos personales en el ámbito de los servicios psicológicos se rige por el Reglamento (UE) 2016/679 (RGPD), la Ley Orgánica 3/2018 (LOPDGDD) y la Ley 41/2002 de Autonomía del Paciente. Los datos de salud constituyen una categoría especial que requiere nivel de protección reforzado.</w:t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/>
      </w:r>
    </w:p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1. Responsable del tratamiento</w:t>
      </w:r>
    </w:p>
    <w:tbl>
      <w:tblPr>
        <w:tblW w:type="dxa" w:w="9026"/>
        <w:tblBorders>
          <w:top w:val="single" w:color="4A8FA3" w:sz="4"/>
          <w:left w:val="single" w:color="4A8FA3" w:sz="12"/>
          <w:bottom w:val="single" w:color="4A8FA3" w:sz="4"/>
          <w:right w:val="single" w:color="4A8FA3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Responsable: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Psicología con Elena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NIF/CIF: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[NIF del titular]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Modalidad: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Servicio de atención psicológica online — España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Correo electrónico (datos):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consulta@psicologiaelena.com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Teléfono: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+34 644 263 078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Web: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psicologiaelena.com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Delegado de Protección de Datos (DPD):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 [Nombre / "No aplica – Art. 37 RGPD"]</w:t>
            </w:r>
          </w:p>
        </w:tc>
      </w:tr>
    </w:tbl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2. Categorías de datos tratados</w:t>
      </w:r>
    </w:p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800"/>
        <w:gridCol w:w="2426"/>
      </w:tblGrid>
      <w:tr>
        <w:trPr>
          <w:tblHeader/>
        </w:trPr>
        <w:tc>
          <w:tcPr>
            <w:tcW w:type="dxa" w:w="2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2C5F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Categoría</w:t>
            </w:r>
          </w:p>
        </w:tc>
        <w:tc>
          <w:tcPr>
            <w:tcW w:type="dxa" w:w="3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2C5F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Datos concretos</w:t>
            </w:r>
          </w:p>
        </w:tc>
        <w:tc>
          <w:tcPr>
            <w:tcW w:type="dxa" w:w="24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2C5F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Fuente</w:t>
            </w:r>
          </w:p>
        </w:tc>
      </w:tr>
      <w:tr>
        <w:tc>
          <w:tcPr>
            <w:tcW w:type="dxa" w:w="2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Identificación</w:t>
            </w:r>
          </w:p>
        </w:tc>
        <w:tc>
          <w:tcPr>
            <w:tcW w:type="dxa" w:w="3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Nombre, apellidos, DNI/NIE, fecha de nacimiento</w:t>
            </w:r>
          </w:p>
        </w:tc>
        <w:tc>
          <w:tcPr>
            <w:tcW w:type="dxa" w:w="24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El propio interesado</w:t>
            </w:r>
          </w:p>
        </w:tc>
      </w:tr>
      <w:tr>
        <w:tc>
          <w:tcPr>
            <w:tcW w:type="dxa" w:w="2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Contacto</w:t>
            </w:r>
          </w:p>
        </w:tc>
        <w:tc>
          <w:tcPr>
            <w:tcW w:type="dxa" w:w="3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Correo electrónico, teléfono</w:t>
            </w:r>
          </w:p>
        </w:tc>
        <w:tc>
          <w:tcPr>
            <w:tcW w:type="dxa" w:w="24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El propio interesado</w:t>
            </w:r>
          </w:p>
        </w:tc>
      </w:tr>
      <w:tr>
        <w:tc>
          <w:tcPr>
            <w:tcW w:type="dxa" w:w="2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Datos de salud (categoría especial)</w:t>
            </w:r>
          </w:p>
        </w:tc>
        <w:tc>
          <w:tcPr>
            <w:tcW w:type="dxa" w:w="3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Historia clínica, anamnesis, evaluaciones psicológicas, diagnósticos, informes</w:t>
            </w:r>
          </w:p>
        </w:tc>
        <w:tc>
          <w:tcPr>
            <w:tcW w:type="dxa" w:w="24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El propio interesado / terceros con autorización</w:t>
            </w:r>
          </w:p>
        </w:tc>
      </w:tr>
      <w:tr>
        <w:tc>
          <w:tcPr>
            <w:tcW w:type="dxa" w:w="2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Económico-financieros</w:t>
            </w:r>
          </w:p>
        </w:tc>
        <w:tc>
          <w:tcPr>
            <w:tcW w:type="dxa" w:w="3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Datos de facturación, modalidad de pago</w:t>
            </w:r>
          </w:p>
        </w:tc>
        <w:tc>
          <w:tcPr>
            <w:tcW w:type="dxa" w:w="24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El propio interesado</w:t>
            </w:r>
          </w:p>
        </w:tc>
      </w:tr>
      <w:tr>
        <w:tc>
          <w:tcPr>
            <w:tcW w:type="dxa" w:w="2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B33"/>
                <w:sz w:val="20"/>
                <w:szCs w:val="20"/>
              </w:rPr>
              <w:t xml:space="preserve">Navegación</w:t>
            </w:r>
          </w:p>
        </w:tc>
        <w:tc>
          <w:tcPr>
            <w:tcW w:type="dxa" w:w="38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Dirección IP, cookies técnicas y analíticas</w:t>
            </w:r>
          </w:p>
        </w:tc>
        <w:tc>
          <w:tcPr>
            <w:tcW w:type="dxa" w:w="24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Automática (sitio web)</w:t>
            </w:r>
          </w:p>
        </w:tc>
      </w:tr>
    </w:tbl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3. Finalidades y bases jurídicas del tratamiento</w:t>
      </w:r>
    </w:p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026"/>
      </w:tblGrid>
      <w:tr>
        <w:trPr>
          <w:tblHeader/>
        </w:trPr>
        <w:tc>
          <w:tcPr>
            <w:tcW w:type="dxa" w:w="50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2C5F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Finalidad</w:t>
            </w:r>
          </w:p>
        </w:tc>
        <w:tc>
          <w:tcPr>
            <w:tcW w:type="dxa" w:w="40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2C5F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Base jurídica (Art. 6 RGPD)</w:t>
            </w:r>
          </w:p>
        </w:tc>
      </w:tr>
      <w:tr>
        <w:tc>
          <w:tcPr>
            <w:tcW w:type="dxa" w:w="50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Prestación de servicios psicológicos y gestión de la relación clínica</w:t>
            </w:r>
          </w:p>
        </w:tc>
        <w:tc>
          <w:tcPr>
            <w:tcW w:type="dxa" w:w="40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Ejecución de contrato (Art. 6.1.b)</w:t>
            </w:r>
          </w:p>
        </w:tc>
      </w:tr>
      <w:tr>
        <w:tc>
          <w:tcPr>
            <w:tcW w:type="dxa" w:w="50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Tratamiento de datos de salud con fines diagnósticos y terapéuticos</w:t>
            </w:r>
          </w:p>
        </w:tc>
        <w:tc>
          <w:tcPr>
            <w:tcW w:type="dxa" w:w="40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Consentimiento explícito + asistencia sanitaria (Art. 9.2.a y 9.2.h)</w:t>
            </w:r>
          </w:p>
        </w:tc>
      </w:tr>
      <w:tr>
        <w:tc>
          <w:tcPr>
            <w:tcW w:type="dxa" w:w="50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Facturación y cumplimiento de obligaciones fiscales</w:t>
            </w:r>
          </w:p>
        </w:tc>
        <w:tc>
          <w:tcPr>
            <w:tcW w:type="dxa" w:w="40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Obligación legal (Art. 6.1.c)</w:t>
            </w:r>
          </w:p>
        </w:tc>
      </w:tr>
      <w:tr>
        <w:tc>
          <w:tcPr>
            <w:tcW w:type="dxa" w:w="50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Envío de comunicaciones sobre el servicio (citas, recordatorios)</w:t>
            </w:r>
          </w:p>
        </w:tc>
        <w:tc>
          <w:tcPr>
            <w:tcW w:type="dxa" w:w="40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Ejecución de contrato (Art. 6.1.b)</w:t>
            </w:r>
          </w:p>
        </w:tc>
      </w:tr>
      <w:tr>
        <w:tc>
          <w:tcPr>
            <w:tcW w:type="dxa" w:w="50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Envío de comunicaciones comerciales o informativas</w:t>
            </w:r>
          </w:p>
        </w:tc>
        <w:tc>
          <w:tcPr>
            <w:tcW w:type="dxa" w:w="40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Consentimiento (Art. 6.1.a) — revocable</w:t>
            </w:r>
          </w:p>
        </w:tc>
      </w:tr>
      <w:tr>
        <w:tc>
          <w:tcPr>
            <w:tcW w:type="dxa" w:w="5000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Elaboración de informes periciales y documentación judicial</w:t>
            </w:r>
          </w:p>
        </w:tc>
        <w:tc>
          <w:tcPr>
            <w:tcW w:type="dxa" w:w="4026"/>
            <w:tcBorders>
              <w:top w:val="single" w:color="C8DDE6" w:sz="1"/>
              <w:left w:val="single" w:color="C8DDE6" w:sz="1"/>
              <w:bottom w:val="single" w:color="C8DDE6" w:sz="1"/>
              <w:right w:val="single" w:color="C8DDE6" w:sz="1"/>
            </w:tcBorders>
            <w:shd w:fill="EAF5F9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Obligación legal / interés legítimo (Art. 6.1.c y 6.1.f)</w:t>
            </w:r>
          </w:p>
        </w:tc>
      </w:tr>
    </w:tbl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4. Datos de categoría especial (datos de salud)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Los datos relativos a la salud mental y física del paciente son datos de categoría especial conforme al </w:t>
      </w: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artículo 9 del RGPD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. Su tratamiento queda amparado 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El consentimiento explícito del interesado (Art. 9.2.a RGPD), recabado mediante el formulario de consentimiento informado en la primera consulta.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La prestación de asistencia sanitaria y el ejercicio de la actividad profesional por parte de una psicóloga sujeta a secreto profesional (Art. 9.2.h RGPD y Art. 10 Ley 41/2002).</w:t>
      </w:r>
    </w:p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/>
      </w:r>
    </w:p>
    <w:tbl>
      <w:tblPr>
        <w:tblW w:type="dxa" w:w="9026"/>
        <w:tblBorders>
          <w:top w:val="single" w:color="4A8FA3" w:sz="4"/>
          <w:left w:val="single" w:color="4A8FA3" w:sz="12"/>
          <w:bottom w:val="single" w:color="4A8FA3" w:sz="4"/>
          <w:right w:val="single" w:color="4A8FA3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6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La historia clínica psicológica se mantiene bajo estrictas medidas de seguridad técnicas y organizativas. El acceso queda restringido a la profesional responsable y, en su caso, al personal auxiliar expresamente autorizado y vinculado por deber de confidencialidad.</w:t>
            </w:r>
          </w:p>
        </w:tc>
      </w:tr>
    </w:tbl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5. Plazo de conservación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Historia clínica: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mínimo 5 años desde la última asistencia, conforme a la Ley 41/2002, pudiendo ampliarse a 10 años según la Comunidad Autónoma.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Datos de facturación: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6 años, conforme al artículo 30 del Código de Comercio y normativa fiscal.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Comunicaciones comerciales: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hasta la retirada del consentimiento.</w:t>
      </w:r>
    </w:p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6. Destinatarios y transferencias internacionales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Con carácter general, los datos no serán cedidos a terceros salvo obligación legal. Podrán producirse comunicaciones a: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Administraciones públicas y autoridades sanitarias cuando sea exigido por ley.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Compañías aseguradoras o mutuas, únicamente para la gestión de coberturas previamente autorizadas por el paciente.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Proveedores de servicios tecnológicos (almacenamiento en la nube, plataformas de videoconsulta), que actúan como encargados del tratamiento en virtud de un contrato conforme al Art. 28 RGPD.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Las transferencias internacionales, si las hubiera, se realizarán únicamente a países con decisión de adecuación de la Comisión Europea o con cláusulas contractuales tipo, conforme al Capítulo V del RGPD.</w:t>
      </w:r>
    </w:p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7. Derechos del interesado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El interesado puede ejercer, en cualquier momento y de forma gratuita, los siguientes derechos: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Acceso: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obtener confirmación sobre si se tratan datos que le conciernen y acceder a ellos.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Rectificación: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solicitar la corrección de datos inexactos o incompletos.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Supresión ("derecho al olvido"):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solicitar la eliminación de sus datos, salvo obligación legal de conservación.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Limitación del tratamiento: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suspender o restringir el tratamiento en determinadas circunstancias.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Portabilidad: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recibir sus datos en formato estructurado para transmitirlos a otro responsable.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Oposición: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oponerse al tratamiento para finalidades de marketing directo.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Retirada del consentimiento: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en cualquier momento, sin que afecte a la licitud del tratamiento previo.</w:t>
      </w:r>
    </w:p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/>
      </w:r>
    </w:p>
    <w:tbl>
      <w:tblPr>
        <w:tblW w:type="dxa" w:w="9026"/>
        <w:tblBorders>
          <w:top w:val="single" w:color="4A8FA3" w:sz="4"/>
          <w:left w:val="single" w:color="4A8FA3" w:sz="12"/>
          <w:bottom w:val="single" w:color="4A8FA3" w:sz="4"/>
          <w:right w:val="single" w:color="4A8FA3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Ejercicio de derechos: consulta@psicologiaelena.com — adjuntando copia de DNI/NIE.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Plazo de respuesta: máximo 1 mes desde la recepción (Art. 12.3 RGPD).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F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B33"/>
                <w:sz w:val="20"/>
                <w:szCs w:val="20"/>
              </w:rPr>
              <w:t xml:space="preserve">Reclamación ante la AEPD: www.aepd.es — C/ Jorge Juan, 6, 28001 Madrid.</w:t>
            </w:r>
          </w:p>
        </w:tc>
      </w:tr>
    </w:tbl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8. Seguridad y confidencialidad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El responsable ha adoptado las medidas técnicas y organizativas necesarias para garantizar la seguridad de los datos personales, conforme al </w:t>
      </w: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artículo 32 del RGPD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Cifrado de datos en tránsito (TLS/HTTPS) y en reposo.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Control de accesos basado en perfiles y autenticación segura.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Procedimientos de copia de seguridad periódica.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Formación continua en materia de protección de datos.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Pseudonimización de datos en procedimientos de investigación o formación, cuando proceda.</w:t>
      </w:r>
    </w:p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9. Secreto profesional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La psicóloga responsable está sujeta al </w:t>
      </w: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secreto profesional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consagrado en el artículo 40 del Código Deontológico del Psicólogo y en el artículo 10 de la Ley 41/2002, comprometiéndose a no revelar información confidencial obtenida en el ejercicio de su actividad profesional, salvo las excepciones legalmente establecidas (riesgo grave para el propio paciente o terceros, requerimiento judicial firme).</w:t>
      </w:r>
    </w:p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10. Uso de cookies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El sitio web utiliza cookies propias de carácter técnico, estrictamente necesarias para el funcionamiento del sitio. Para el uso de cookies analíticas o publicitarias se solicitará el consentimiento del usuario mediante el panel de preferencias, conforme a la Ley 9/2014, de 9 de mayo, General de Telecomunicaciones, y la normativa de la AEPD.</w:t>
      </w:r>
    </w:p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11. Menores de edad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Conforme al artículo 8 del RGPD y artículo 7 de la LOPDGDD, el tratamiento de datos de menores de </w:t>
      </w:r>
      <w:r>
        <w:rPr>
          <w:rFonts w:ascii="Arial" w:cs="Arial" w:eastAsia="Arial" w:hAnsi="Arial"/>
          <w:b/>
          <w:bCs/>
          <w:i w:val="false"/>
          <w:iCs w:val="false"/>
          <w:color w:val="1A2B33"/>
          <w:sz w:val="22"/>
          <w:szCs w:val="22"/>
        </w:rPr>
        <w:t xml:space="preserve">14 años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 requiere el consentimiento de sus padres, tutores o representantes legales. El titular adoptará las medidas razonables para verificar dicho consentimiento.</w:t>
      </w:r>
    </w:p>
    <w:p>
      <w:pPr>
        <w:pStyle w:val="Heading1"/>
        <w:pBdr>
          <w:bottom w:val="single" w:color="4A8FA3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2C5F6E"/>
          <w:sz w:val="28"/>
          <w:szCs w:val="28"/>
        </w:rPr>
        <w:t xml:space="preserve">12. Modificaciones y contacto con la autoridad de control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El responsable se reserva el derecho a actualizar la presente Política. La versión vigente estará siempre disponible en psicologiaelena.com con indicación de su fecha de actualización.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B33"/>
          <w:sz w:val="22"/>
          <w:szCs w:val="22"/>
        </w:rPr>
        <w:t xml:space="preserve">Si considera que sus derechos no han sido debidamente atendidos, puede presentar una reclamación ante la Agencia Española de Protección de Datos: www.aepd.es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DDE6" w:sz="4" w:space="4"/>
      </w:pBdr>
      <w:spacing w:after="0" w:before="100"/>
    </w:pPr>
    <w:r>
      <w:rPr>
        <w:rFonts w:ascii="Arial" w:cs="Arial" w:eastAsia="Arial" w:hAnsi="Arial"/>
        <w:b w:val="false"/>
        <w:bCs w:val="false"/>
        <w:i w:val="false"/>
        <w:iCs w:val="false"/>
        <w:color w:val="5A7080"/>
        <w:sz w:val="16"/>
        <w:szCs w:val="16"/>
      </w:rPr>
      <w:t xml:space="preserve">© 2026 Psicología con Elena · psicologiaelena.com · consulta@psicologiaelena.com</w:t>
    </w:r>
    <w:r>
      <w:rPr>
        <w:rFonts w:ascii="Arial" w:cs="Arial" w:eastAsia="Arial" w:hAnsi="Arial"/>
        <w:b w:val="false"/>
        <w:bCs w:val="false"/>
        <w:i w:val="false"/>
        <w:iCs w:val="false"/>
        <w:color w:val="5A7080"/>
        <w:sz w:val="16"/>
        <w:szCs w:val="16"/>
      </w:rPr>
      <w:t xml:space="preserve">   Página </w:t>
    </w:r>
    <w:r>
      <w:rPr>
        <w:rFonts w:ascii="Arial" w:cs="Arial" w:eastAsia="Arial" w:hAnsi="Arial"/>
        <w:color w:val="5A70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5A7080"/>
        <w:sz w:val="16"/>
        <w:szCs w:val="16"/>
      </w:rPr>
      <w:t xml:space="preserve"> de </w:t>
    </w:r>
    <w:r>
      <w:rPr>
        <w:rFonts w:ascii="Arial" w:cs="Arial" w:eastAsia="Arial" w:hAnsi="Arial"/>
        <w:color w:val="5A70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DDE6" w:sz="4" w:space="4"/>
      </w:pBdr>
      <w:spacing w:after="100" w:before="0"/>
    </w:pPr>
    <w:r>
      <w:rPr>
        <w:rFonts w:ascii="Arial" w:cs="Arial" w:eastAsia="Arial" w:hAnsi="Arial"/>
        <w:b/>
        <w:bCs/>
        <w:i w:val="false"/>
        <w:iCs w:val="false"/>
        <w:color w:val="2C5F6E"/>
        <w:sz w:val="18"/>
        <w:szCs w:val="18"/>
      </w:rPr>
      <w:t xml:space="preserve">Psicología con Elena</w:t>
    </w:r>
    <w:r>
      <w:rPr>
        <w:rFonts w:ascii="Arial" w:cs="Arial" w:eastAsia="Arial" w:hAnsi="Arial"/>
        <w:b w:val="false"/>
        <w:bCs w:val="false"/>
        <w:i w:val="false"/>
        <w:iCs w:val="false"/>
        <w:color w:val="5A7080"/>
        <w:sz w:val="18"/>
        <w:szCs w:val="18"/>
      </w:rPr>
      <w:t xml:space="preserve">   |   </w:t>
    </w:r>
    <w:r>
      <w:rPr>
        <w:rFonts w:ascii="Arial" w:cs="Arial" w:eastAsia="Arial" w:hAnsi="Arial"/>
        <w:b w:val="false"/>
        <w:bCs w:val="false"/>
        <w:i w:val="false"/>
        <w:iCs w:val="false"/>
        <w:color w:val="5A7080"/>
        <w:sz w:val="18"/>
        <w:szCs w:val="18"/>
      </w:rPr>
      <w:t xml:space="preserve">Política de Protección de Datos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40" w:before="40"/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40" w:before="40"/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B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2C5F6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2C5F6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2026-06-24T07:39:27.608Z</dcterms:created>
  <dcterms:modified xsi:type="dcterms:W3CDTF">2026-06-24T07:39:27.608Z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